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51A8F">
      <w:pPr>
        <w:overflowPunct w:val="0"/>
        <w:autoSpaceDE w:val="0"/>
        <w:autoSpaceDN w:val="0"/>
        <w:adjustRightInd w:val="0"/>
        <w:snapToGrid w:val="0"/>
        <w:spacing w:line="560" w:lineRule="exact"/>
        <w:jc w:val="center"/>
        <w:rPr>
          <w:rFonts w:eastAsia="方正小标宋_GBK"/>
          <w:snapToGrid w:val="0"/>
          <w:color w:val="000000" w:themeColor="text1"/>
          <w:kern w:val="0"/>
          <w:sz w:val="44"/>
          <w:szCs w:val="44"/>
          <w:lang w:bidi="ar"/>
          <w14:textFill>
            <w14:solidFill>
              <w14:schemeClr w14:val="tx1"/>
            </w14:solidFill>
          </w14:textFill>
        </w:rPr>
      </w:pPr>
      <w:r>
        <w:rPr>
          <w:rFonts w:eastAsia="方正小标宋_GBK"/>
          <w:snapToGrid w:val="0"/>
          <w:color w:val="000000" w:themeColor="text1"/>
          <w:kern w:val="0"/>
          <w:sz w:val="44"/>
          <w:szCs w:val="44"/>
          <w:lang w:bidi="ar"/>
          <w14:textFill>
            <w14:solidFill>
              <w14:schemeClr w14:val="tx1"/>
            </w14:solidFill>
          </w14:textFill>
        </w:rPr>
        <w:t>参赛单位赛风赛纪及安全防范工作责任书</w:t>
      </w:r>
    </w:p>
    <w:p w14:paraId="0068D691">
      <w:pPr>
        <w:overflowPunct w:val="0"/>
        <w:autoSpaceDE w:val="0"/>
        <w:autoSpaceDN w:val="0"/>
        <w:adjustRightInd w:val="0"/>
        <w:snapToGrid w:val="0"/>
        <w:spacing w:line="560" w:lineRule="exact"/>
        <w:rPr>
          <w:rFonts w:eastAsia="仿宋_GB2312"/>
          <w:snapToGrid w:val="0"/>
          <w:color w:val="000000" w:themeColor="text1"/>
          <w:kern w:val="0"/>
          <w:sz w:val="32"/>
          <w:szCs w:val="32"/>
          <w14:textFill>
            <w14:solidFill>
              <w14:schemeClr w14:val="tx1"/>
            </w14:solidFill>
          </w14:textFill>
        </w:rPr>
      </w:pPr>
    </w:p>
    <w:p w14:paraId="50FC1A78">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第一条</w:t>
      </w:r>
      <w:r>
        <w:rPr>
          <w:rFonts w:eastAsia="仿宋_GB2312"/>
          <w:snapToGrid w:val="0"/>
          <w:color w:val="000000" w:themeColor="text1"/>
          <w:kern w:val="0"/>
          <w:sz w:val="32"/>
          <w:szCs w:val="32"/>
          <w:lang w:bidi="ar"/>
          <w14:textFill>
            <w14:solidFill>
              <w14:schemeClr w14:val="tx1"/>
            </w14:solidFill>
          </w14:textFill>
        </w:rPr>
        <w:t xml:space="preserve">  为加强参赛单位参加广州市校园体育赛事赛风赛纪及安全防范工作的管理、监督和责任落实，确保安全参赛、文明参赛、干净参赛，特制定本责任书。</w:t>
      </w:r>
    </w:p>
    <w:p w14:paraId="7290445C">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第二条</w:t>
      </w:r>
      <w:r>
        <w:rPr>
          <w:rFonts w:eastAsia="仿宋_GB2312"/>
          <w:snapToGrid w:val="0"/>
          <w:color w:val="000000" w:themeColor="text1"/>
          <w:kern w:val="0"/>
          <w:sz w:val="32"/>
          <w:szCs w:val="32"/>
          <w:lang w:bidi="ar"/>
          <w14:textFill>
            <w14:solidFill>
              <w14:schemeClr w14:val="tx1"/>
            </w14:solidFill>
          </w14:textFill>
        </w:rPr>
        <w:t xml:space="preserve">  参赛单位主要负责人是本单位运动队参加广州市校园体育赛事赛风赛纪和安全防范工作的第一责任人，对此项工作负有主要监督管理责任。</w:t>
      </w:r>
    </w:p>
    <w:p w14:paraId="239B72B0">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第三条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参赛单位要充分认识赛风赛纪和反兴奋剂工作的重要性和必要性，坚决落实主体责任和监督责任，制定切实有效的措施，加强管理和教育，确保顺利安全参赛。</w:t>
      </w:r>
    </w:p>
    <w:p w14:paraId="1D8B87C1">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第四条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参赛单位要加强对所属人员的教育和管理，树立正确的参赛观、胜负观，鼓励教练员、运动员通过刻苦训练、顽强拼搏争取优异成绩，坚决抵制为追求金牌而扭曲体育精神的不良行为。</w:t>
      </w:r>
    </w:p>
    <w:p w14:paraId="0CE3CB56">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第五条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参赛单位要严格遵守国家和省有关反兴奋剂工作法律法规，加强宣传和教育，严防严查兴奋剂违规行为。</w:t>
      </w:r>
    </w:p>
    <w:p w14:paraId="19FC5C04">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第六条</w:t>
      </w:r>
      <w:r>
        <w:rPr>
          <w:rFonts w:eastAsia="仿宋_GB2312"/>
          <w:snapToGrid w:val="0"/>
          <w:color w:val="000000" w:themeColor="text1"/>
          <w:kern w:val="0"/>
          <w:sz w:val="32"/>
          <w:szCs w:val="32"/>
          <w:lang w:bidi="ar"/>
          <w14:textFill>
            <w14:solidFill>
              <w14:schemeClr w14:val="tx1"/>
            </w14:solidFill>
          </w14:textFill>
        </w:rPr>
        <w:t xml:space="preserve">  严格落实赛风赛纪和反兴奋剂工作责任制，建立责任防范和监管体系，做到各负其责，无盲点、全覆盖。对于监管工作不尽职、不履责的单位和人员按规定进行严肃追责。</w:t>
      </w:r>
    </w:p>
    <w:p w14:paraId="0162BAA8">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第七条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 xml:space="preserve"> 参赛单位在参赛过程中严禁出现以下行为：</w:t>
      </w:r>
    </w:p>
    <w:p w14:paraId="439F7129">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（一）违反运动员参赛资格规定，在运动员资格、年龄、身份上弄虚作假。</w:t>
      </w:r>
    </w:p>
    <w:p w14:paraId="56C4F93A">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（二）违反法律法规、违背体育道德进行虚假比赛或操纵比赛，参与赌博、打假球假赛。</w:t>
      </w:r>
    </w:p>
    <w:p w14:paraId="5D9A0860">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（三）为谋求不正当参赛利益，向竞委会、竞委会人员、技术官员等赠送礼品、礼金、有价证券和支付凭证，或安排宴请、娱乐等消费活动。</w:t>
      </w:r>
    </w:p>
    <w:p w14:paraId="794030B3">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（四）不服从裁判员判罚，指责、谩骂、攻击裁判员，干扰裁判员正常执裁；不尊重或侮辱对手，对观众有不礼貌行为；组织、煽动滋事闹事、干扰比赛。</w:t>
      </w:r>
    </w:p>
    <w:p w14:paraId="2E993D76">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（五）故意干扰影响他人正常参赛，故意拖延比赛时间，闹赛、罢赛、无故弃权、拒绝领奖，扰乱赛场秩序。</w:t>
      </w:r>
    </w:p>
    <w:p w14:paraId="47D7AA37">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（六）发表不实或不当言论，误导媒体和公众行为。</w:t>
      </w:r>
    </w:p>
    <w:p w14:paraId="37A9CB5C">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（七）因管理不力或应急处置不及时、不妥当，引发安全事故。</w:t>
      </w:r>
    </w:p>
    <w:p w14:paraId="07EB57ED">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（八）使用兴奋剂，强迫、教唆、纵容、包庇兴奋剂违规行为，或对食品、药品安全疏于管理发生兴奋剂违规行为。</w:t>
      </w:r>
    </w:p>
    <w:p w14:paraId="6A98C7DB">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（九）其他损害体育形象和影响比赛正常进行的行为。</w:t>
      </w:r>
    </w:p>
    <w:p w14:paraId="02381592">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第八条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参赛单位在参赛期间，发生以上违规行为并经查实后，依照有关法律法规，根据行为性质、情节、危害程度，对相关人员进行处理、问责和追责。</w:t>
      </w:r>
    </w:p>
    <w:p w14:paraId="3CA042ED">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第九条</w:t>
      </w:r>
      <w:r>
        <w:rPr>
          <w:rFonts w:eastAsia="仿宋_GB2312"/>
          <w:snapToGrid w:val="0"/>
          <w:color w:val="000000" w:themeColor="text1"/>
          <w:kern w:val="0"/>
          <w:sz w:val="32"/>
          <w:szCs w:val="32"/>
          <w:lang w:bidi="ar"/>
          <w14:textFill>
            <w14:solidFill>
              <w14:schemeClr w14:val="tx1"/>
            </w14:solidFill>
          </w14:textFill>
        </w:rPr>
        <w:t xml:space="preserve">  参赛单位负责监管参赛人员</w:t>
      </w:r>
      <w:bookmarkStart w:id="0" w:name="_GoBack"/>
      <w:bookmarkEnd w:id="0"/>
      <w:r>
        <w:rPr>
          <w:rFonts w:eastAsia="仿宋_GB2312"/>
          <w:snapToGrid w:val="0"/>
          <w:color w:val="000000" w:themeColor="text1"/>
          <w:kern w:val="0"/>
          <w:sz w:val="32"/>
          <w:szCs w:val="32"/>
          <w:lang w:bidi="ar"/>
          <w14:textFill>
            <w14:solidFill>
              <w14:schemeClr w14:val="tx1"/>
            </w14:solidFill>
          </w14:textFill>
        </w:rPr>
        <w:t>落实疫情防控工作。</w:t>
      </w:r>
    </w:p>
    <w:p w14:paraId="6B34637A">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黑体"/>
          <w:snapToGrid w:val="0"/>
          <w:color w:val="000000" w:themeColor="text1"/>
          <w:kern w:val="0"/>
          <w:sz w:val="32"/>
          <w:szCs w:val="32"/>
          <w:lang w:bidi="ar"/>
          <w14:textFill>
            <w14:solidFill>
              <w14:schemeClr w14:val="tx1"/>
            </w14:solidFill>
          </w14:textFill>
        </w:rPr>
        <w:t>第十条</w:t>
      </w:r>
      <w:r>
        <w:rPr>
          <w:rFonts w:eastAsia="仿宋_GB2312"/>
          <w:b/>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参赛单位负责掌握参赛运动员身体状况，排除参赛风险隐患，保证安全参赛。做到：</w:t>
      </w:r>
    </w:p>
    <w:p w14:paraId="53D926F2">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（一）确保参赛运动员身体健康，状况良好，没有任何身体不适或疾病（包括但不限于先天性心脏病、风湿性心脏病、心肌炎、冠状动脉病、严重心律不齐、高血压、脑血管疾病等不适合参加本次比赛的疾病）。</w:t>
      </w:r>
    </w:p>
    <w:p w14:paraId="4CB7F3D8">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二）确保为参赛运动员购买参加比赛期间（含交通往返途中）的“人身意外伤害保险”；比赛期间如发生人身意外伤亡事故，参赛单位及参赛运动员愿意承担责任风险，一切责任和费用全部由参赛方（人）承担。</w:t>
      </w:r>
    </w:p>
    <w:p w14:paraId="48128ED1">
      <w:pPr>
        <w:overflowPunct w:val="0"/>
        <w:autoSpaceDE w:val="0"/>
        <w:autoSpaceDN w:val="0"/>
        <w:adjustRightInd w:val="0"/>
        <w:snapToGrid w:val="0"/>
        <w:spacing w:line="560" w:lineRule="exact"/>
        <w:ind w:firstLine="640" w:firstLineChars="200"/>
        <w:rPr>
          <w:rFonts w:eastAsia="仿宋_GB2312"/>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（三）充分了解本次赛事可能出现的风险，并采取必要的防范措施，对全体参赛人员安全高度负责。</w:t>
      </w:r>
    </w:p>
    <w:p w14:paraId="0AFDD09B">
      <w:pPr>
        <w:overflowPunct w:val="0"/>
        <w:autoSpaceDE w:val="0"/>
        <w:autoSpaceDN w:val="0"/>
        <w:adjustRightInd w:val="0"/>
        <w:snapToGrid w:val="0"/>
        <w:spacing w:line="560" w:lineRule="exact"/>
        <w:ind w:firstLine="640" w:firstLineChars="200"/>
        <w:rPr>
          <w:rFonts w:eastAsia="仿宋_GB2312"/>
          <w:b/>
          <w:snapToGrid w:val="0"/>
          <w:color w:val="000000" w:themeColor="text1"/>
          <w:kern w:val="0"/>
          <w:sz w:val="32"/>
          <w:szCs w:val="32"/>
          <w14:textFill>
            <w14:solidFill>
              <w14:schemeClr w14:val="tx1"/>
            </w14:solidFill>
          </w14:textFill>
        </w:rPr>
      </w:pPr>
      <w:r>
        <w:rPr>
          <w:rFonts w:eastAsia="仿宋_GB2312"/>
          <w:snapToGrid w:val="0"/>
          <w:color w:val="000000" w:themeColor="text1"/>
          <w:kern w:val="0"/>
          <w:sz w:val="32"/>
          <w:szCs w:val="32"/>
          <w:lang w:bidi="ar"/>
          <w14:textFill>
            <w14:solidFill>
              <w14:schemeClr w14:val="tx1"/>
            </w14:solidFill>
          </w14:textFill>
        </w:rPr>
        <w:t>本责任书盖章后生效，由参赛单位提交至赛事组委会。</w:t>
      </w:r>
    </w:p>
    <w:p w14:paraId="46387445">
      <w:pPr>
        <w:overflowPunct w:val="0"/>
        <w:autoSpaceDE w:val="0"/>
        <w:autoSpaceDN w:val="0"/>
        <w:adjustRightInd w:val="0"/>
        <w:snapToGrid w:val="0"/>
        <w:spacing w:line="560" w:lineRule="exact"/>
        <w:rPr>
          <w:rFonts w:eastAsia="仿宋_GB2312"/>
          <w:snapToGrid w:val="0"/>
          <w:color w:val="000000" w:themeColor="text1"/>
          <w:kern w:val="0"/>
          <w:sz w:val="32"/>
          <w:szCs w:val="32"/>
          <w14:textFill>
            <w14:solidFill>
              <w14:schemeClr w14:val="tx1"/>
            </w14:solidFill>
          </w14:textFill>
        </w:rPr>
      </w:pPr>
    </w:p>
    <w:p w14:paraId="7ED14A1D">
      <w:pPr>
        <w:overflowPunct w:val="0"/>
        <w:autoSpaceDE w:val="0"/>
        <w:autoSpaceDN w:val="0"/>
        <w:adjustRightInd w:val="0"/>
        <w:snapToGrid w:val="0"/>
        <w:spacing w:line="560" w:lineRule="exact"/>
        <w:rPr>
          <w:rFonts w:eastAsia="仿宋_GB2312"/>
          <w:snapToGrid w:val="0"/>
          <w:color w:val="000000" w:themeColor="text1"/>
          <w:kern w:val="0"/>
          <w:sz w:val="32"/>
          <w:szCs w:val="32"/>
          <w:lang w:bidi="ar"/>
          <w14:textFill>
            <w14:solidFill>
              <w14:schemeClr w14:val="tx1"/>
            </w14:solidFill>
          </w14:textFill>
        </w:rPr>
      </w:pPr>
    </w:p>
    <w:p w14:paraId="3E152C94">
      <w:pPr>
        <w:overflowPunct w:val="0"/>
        <w:autoSpaceDE w:val="0"/>
        <w:autoSpaceDN w:val="0"/>
        <w:adjustRightInd w:val="0"/>
        <w:snapToGrid w:val="0"/>
        <w:spacing w:line="560" w:lineRule="exact"/>
        <w:rPr>
          <w:rFonts w:eastAsia="仿宋_GB2312"/>
          <w:snapToGrid w:val="0"/>
          <w:color w:val="000000" w:themeColor="text1"/>
          <w:kern w:val="0"/>
          <w:sz w:val="32"/>
          <w:szCs w:val="32"/>
          <w:lang w:bidi="ar"/>
          <w14:textFill>
            <w14:solidFill>
              <w14:schemeClr w14:val="tx1"/>
            </w14:solidFill>
          </w14:textFill>
        </w:rPr>
      </w:pPr>
    </w:p>
    <w:p w14:paraId="4D5BEEED">
      <w:pPr>
        <w:overflowPunct w:val="0"/>
        <w:autoSpaceDE w:val="0"/>
        <w:autoSpaceDN w:val="0"/>
        <w:adjustRightInd w:val="0"/>
        <w:snapToGrid w:val="0"/>
        <w:spacing w:line="560" w:lineRule="exact"/>
        <w:ind w:firstLine="320" w:firstLineChars="100"/>
        <w:jc w:val="center"/>
        <w:rPr>
          <w:rFonts w:eastAsia="仿宋_GB2312"/>
          <w:snapToGrid w:val="0"/>
          <w:color w:val="000000" w:themeColor="text1"/>
          <w:kern w:val="0"/>
          <w:sz w:val="32"/>
          <w:szCs w:val="32"/>
          <w14:textFill>
            <w14:solidFill>
              <w14:schemeClr w14:val="tx1"/>
            </w14:solidFill>
          </w14:textFill>
        </w:rPr>
      </w:pPr>
      <w:r>
        <w:rPr>
          <w:rFonts w:hint="eastAsia" w:eastAsia="仿宋_GB2312"/>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参赛单位（公章）</w:t>
      </w:r>
    </w:p>
    <w:p w14:paraId="6A44EDA9">
      <w:pPr>
        <w:overflowPunct w:val="0"/>
        <w:autoSpaceDE w:val="0"/>
        <w:autoSpaceDN w:val="0"/>
        <w:adjustRightInd w:val="0"/>
        <w:snapToGrid w:val="0"/>
        <w:spacing w:line="560" w:lineRule="exact"/>
        <w:ind w:firstLine="320" w:firstLineChars="100"/>
        <w:jc w:val="center"/>
        <w:rPr>
          <w:rFonts w:eastAsia="仿宋_GB2312"/>
          <w:snapToGrid w:val="0"/>
          <w:color w:val="000000" w:themeColor="text1"/>
          <w:kern w:val="0"/>
          <w:sz w:val="32"/>
          <w:szCs w:val="32"/>
          <w14:textFill>
            <w14:solidFill>
              <w14:schemeClr w14:val="tx1"/>
            </w14:solidFill>
          </w14:textFill>
        </w:rPr>
      </w:pPr>
      <w:r>
        <w:rPr>
          <w:rFonts w:hint="eastAsia" w:eastAsia="仿宋_GB2312"/>
          <w:snapToGrid w:val="0"/>
          <w:color w:val="000000" w:themeColor="text1"/>
          <w:kern w:val="0"/>
          <w:sz w:val="32"/>
          <w:szCs w:val="32"/>
          <w:lang w:bidi="ar"/>
          <w14:textFill>
            <w14:solidFill>
              <w14:schemeClr w14:val="tx1"/>
            </w14:solidFill>
          </w14:textFill>
        </w:rPr>
        <w:t xml:space="preserve">                                 </w:t>
      </w:r>
      <w:r>
        <w:rPr>
          <w:rFonts w:eastAsia="仿宋_GB2312"/>
          <w:snapToGrid w:val="0"/>
          <w:color w:val="000000" w:themeColor="text1"/>
          <w:kern w:val="0"/>
          <w:sz w:val="32"/>
          <w:szCs w:val="32"/>
          <w:lang w:bidi="ar"/>
          <w14:textFill>
            <w14:solidFill>
              <w14:schemeClr w14:val="tx1"/>
            </w14:solidFill>
          </w14:textFill>
        </w:rPr>
        <w:t>年   月   日</w:t>
      </w:r>
    </w:p>
    <w:p w14:paraId="295F81CF">
      <w:pPr>
        <w:adjustRightInd w:val="0"/>
        <w:snapToGrid w:val="0"/>
        <w:spacing w:line="560" w:lineRule="exact"/>
      </w:pPr>
    </w:p>
    <w:sectPr>
      <w:pgSz w:w="11906" w:h="16838"/>
      <w:pgMar w:top="1928" w:right="1474" w:bottom="1928" w:left="1474" w:header="851" w:footer="124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b08dbcdf-50fe-4742-94e2-9208b5b84077"/>
  </w:docVars>
  <w:rsids>
    <w:rsidRoot w:val="00023554"/>
    <w:rsid w:val="00023554"/>
    <w:rsid w:val="002810A3"/>
    <w:rsid w:val="00320B27"/>
    <w:rsid w:val="00744F9D"/>
    <w:rsid w:val="007E5C60"/>
    <w:rsid w:val="008A7C50"/>
    <w:rsid w:val="00906FDA"/>
    <w:rsid w:val="009F7F15"/>
    <w:rsid w:val="00DE4269"/>
    <w:rsid w:val="00EC0D0A"/>
    <w:rsid w:val="75FD5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tabs>
        <w:tab w:val="center" w:pos="4153"/>
        <w:tab w:val="right" w:pos="8306"/>
      </w:tabs>
      <w:snapToGrid w:val="0"/>
      <w:spacing w:line="240" w:lineRule="atLeast"/>
      <w:jc w:val="left"/>
    </w:pPr>
    <w:rPr>
      <w:rFonts w:asciiTheme="minorHAnsi" w:hAnsiTheme="minorHAnsi" w:eastAsiaTheme="minorEastAsia" w:cstheme="minorBidi"/>
      <w:sz w:val="18"/>
      <w:szCs w:val="18"/>
    </w:rPr>
  </w:style>
  <w:style w:type="paragraph" w:styleId="3">
    <w:name w:val="header"/>
    <w:basedOn w:val="1"/>
    <w:link w:val="6"/>
    <w:unhideWhenUsed/>
    <w:uiPriority w:val="99"/>
    <w:pPr>
      <w:widowControl/>
      <w:tabs>
        <w:tab w:val="center" w:pos="4153"/>
        <w:tab w:val="right" w:pos="8306"/>
      </w:tabs>
      <w:snapToGrid w:val="0"/>
      <w:spacing w:line="240" w:lineRule="atLeast"/>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1241</Words>
  <Characters>1241</Characters>
  <Lines>9</Lines>
  <Paragraphs>2</Paragraphs>
  <TotalTime>7</TotalTime>
  <ScaleCrop>false</ScaleCrop>
  <LinksUpToDate>false</LinksUpToDate>
  <CharactersWithSpaces>1332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2023-09-13T06:21:00Z</dcterms:created>
  <dc:creator>华伦昶</dc:creator>
  <cp:lastModifiedBy>邝sir</cp:lastModifiedBy>
  <dcterms:modified xsi:type="dcterms:W3CDTF">2026-09-09T02:11:53Z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eyJoZGlkIjoiZDdhOTFiMWJhOGE0MmI5M2IwMjM1OWE5YWNmZGZlMzEiLCJ1c2VySWQiOiIzMjc3MDMwMjMifQ==</vt:lpwstr>
  </property>
  <property fmtid="{D5CDD505-2E9C-101B-9397-08002B2CF9AE}" pid="3" name="KSOProductBuildVer">
    <vt:lpwstr>2052-12.1.0.28043</vt:lpwstr>
  </property>
  <property fmtid="{D5CDD505-2E9C-101B-9397-08002B2CF9AE}" pid="4" name="ICV">
    <vt:lpwstr>D1D2FEE228F64F66B5EF9B5461D7FE48_12</vt:lpwstr>
  </property>
</Properties>
</file>